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145" w:type="dxa"/>
        <w:tblInd w:w="-5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035"/>
        <w:gridCol w:w="5670"/>
        <w:gridCol w:w="1005"/>
        <w:gridCol w:w="975"/>
        <w:gridCol w:w="4305"/>
        <w:gridCol w:w="11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80" w:hRule="atLeast"/>
        </w:trPr>
        <w:tc>
          <w:tcPr>
            <w:tcW w:w="14145" w:type="dxa"/>
            <w:gridSpan w:val="6"/>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44"/>
                <w:szCs w:val="44"/>
                <w:u w:val="none"/>
                <w:bdr w:val="none" w:color="auto" w:sz="0" w:space="0"/>
              </w:rPr>
              <w:t>表B.1  广东省食品行业优秀新产品评价表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20" w:hRule="atLeast"/>
        </w:trPr>
        <w:tc>
          <w:tcPr>
            <w:tcW w:w="771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申报单位</w:t>
            </w:r>
            <w:r>
              <w:rPr>
                <w:rFonts w:hint="eastAsia" w:ascii="宋体" w:hAnsi="宋体" w:eastAsia="宋体" w:cs="宋体"/>
                <w:b/>
                <w:bCs/>
                <w:i w:val="0"/>
                <w:iCs w:val="0"/>
                <w:color w:val="000000"/>
                <w:sz w:val="22"/>
                <w:szCs w:val="22"/>
                <w:u w:val="none"/>
                <w:bdr w:val="none" w:color="auto" w:sz="0" w:space="0"/>
                <w:lang w:eastAsia="zh-CN"/>
              </w:rPr>
              <w:t>（盖章）</w:t>
            </w:r>
            <w:r>
              <w:rPr>
                <w:rFonts w:hint="eastAsia" w:ascii="宋体" w:hAnsi="宋体" w:eastAsia="宋体" w:cs="宋体"/>
                <w:b/>
                <w:bCs/>
                <w:i w:val="0"/>
                <w:iCs w:val="0"/>
                <w:color w:val="000000"/>
                <w:sz w:val="22"/>
                <w:szCs w:val="22"/>
                <w:u w:val="none"/>
                <w:bdr w:val="none" w:color="auto" w:sz="0" w:space="0"/>
              </w:rPr>
              <w:t>：</w:t>
            </w:r>
          </w:p>
        </w:tc>
        <w:tc>
          <w:tcPr>
            <w:tcW w:w="6435"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40" w:hRule="atLeast"/>
        </w:trPr>
        <w:tc>
          <w:tcPr>
            <w:tcW w:w="1035" w:type="dxa"/>
            <w:tcBorders>
              <w:top w:val="single" w:color="000000" w:sz="8" w:space="0"/>
              <w:left w:val="single" w:color="000000" w:sz="8" w:space="0"/>
              <w:bottom w:val="nil"/>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评价指标（分值）</w:t>
            </w:r>
          </w:p>
        </w:tc>
        <w:tc>
          <w:tcPr>
            <w:tcW w:w="5670"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评分标准（总分100分）</w:t>
            </w:r>
          </w:p>
        </w:tc>
        <w:tc>
          <w:tcPr>
            <w:tcW w:w="1005" w:type="dxa"/>
            <w:tcBorders>
              <w:top w:val="single" w:color="000000" w:sz="8" w:space="0"/>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评分区间</w:t>
            </w:r>
          </w:p>
        </w:tc>
        <w:tc>
          <w:tcPr>
            <w:tcW w:w="97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自评分</w:t>
            </w:r>
          </w:p>
        </w:tc>
        <w:tc>
          <w:tcPr>
            <w:tcW w:w="4305" w:type="dxa"/>
            <w:tcBorders>
              <w:top w:val="single" w:color="000000" w:sz="8" w:space="0"/>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自评说明</w:t>
            </w:r>
          </w:p>
        </w:tc>
        <w:tc>
          <w:tcPr>
            <w:tcW w:w="115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bdr w:val="none" w:color="auto" w:sz="0" w:space="0"/>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320" w:hRule="atLeast"/>
        </w:trPr>
        <w:tc>
          <w:tcPr>
            <w:tcW w:w="103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bdr w:val="none" w:color="auto" w:sz="0" w:space="0"/>
              </w:rPr>
            </w:pPr>
            <w:r>
              <w:rPr>
                <w:rFonts w:hint="eastAsia" w:ascii="宋体" w:hAnsi="宋体" w:eastAsia="宋体" w:cs="宋体"/>
                <w:i w:val="0"/>
                <w:iCs w:val="0"/>
                <w:color w:val="000000"/>
                <w:sz w:val="21"/>
                <w:szCs w:val="21"/>
                <w:u w:val="none"/>
                <w:bdr w:val="none" w:color="auto" w:sz="0" w:space="0"/>
              </w:rPr>
              <w:t>创新性</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（40分）</w:t>
            </w:r>
          </w:p>
        </w:tc>
        <w:tc>
          <w:tcPr>
            <w:tcW w:w="5670"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在同行业中，或与同类产品相比（参照附录A创新要点进行评价）：</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1.该产品研发难度大，技术复杂，具有独创性或显著创新性，填补市场空白，促进消费升级（21-25分）；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2.该产品难度较大，技术较复杂，具有较明显的创新性。（15-20分）；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3.该产品创新性一般，优化和改进程度不大。（6-14分）。</w:t>
            </w:r>
          </w:p>
        </w:tc>
        <w:tc>
          <w:tcPr>
            <w:tcW w:w="10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6-25</w:t>
            </w:r>
          </w:p>
        </w:tc>
        <w:tc>
          <w:tcPr>
            <w:tcW w:w="97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460" w:hRule="atLeast"/>
        </w:trPr>
        <w:tc>
          <w:tcPr>
            <w:tcW w:w="103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5670"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技术水平高，实用效果优良，取得了相关科技创新成果：</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1.取得与该产品相关性强的发明专利（根据专利技术水平，国内专利酌情评6-8分/件，国际专利8-10分/件）、实用新型专利（4-6分/件）、外观设计专利（2-4分/件）；</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2.经过地市级以上部门或省级以上行业组织科技成果评价，相关技术达到国内领先水平及以上（15分/项），或国内先进水平（10分/项）；或通过项目验收（8分/项）；</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3.撰写了具有较高水平的技术论文、技术分析报告（1-3分/篇）。</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以上各项可累计计分，但不超15分。</w:t>
            </w:r>
          </w:p>
        </w:tc>
        <w:tc>
          <w:tcPr>
            <w:tcW w:w="10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0-15</w:t>
            </w:r>
          </w:p>
        </w:tc>
        <w:tc>
          <w:tcPr>
            <w:tcW w:w="97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460" w:hRule="atLeast"/>
        </w:trPr>
        <w:tc>
          <w:tcPr>
            <w:tcW w:w="1035" w:type="dxa"/>
            <w:tcBorders>
              <w:top w:val="nil"/>
              <w:left w:val="single" w:color="000000" w:sz="8" w:space="0"/>
              <w:bottom w:val="nil"/>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质量水平（40分）</w:t>
            </w:r>
          </w:p>
        </w:tc>
        <w:tc>
          <w:tcPr>
            <w:tcW w:w="5670"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参照产品执行标准中感官及其他质量特性指标进行评价：</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1.色香味形或其他质量特性俱佳，与同类产品差异显著；综合感官体验优秀并兼具健康营养，酌情评36-40分；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2.色香味形或其他质量特性较好，与同类产品有一定差异，综合感官体验较好，酌情评21-35分；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3.色香味形或其他质量特性一般，某些方面存在缺陷或不足，酌情评10-20分。</w:t>
            </w:r>
          </w:p>
        </w:tc>
        <w:tc>
          <w:tcPr>
            <w:tcW w:w="100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10-40</w:t>
            </w:r>
          </w:p>
        </w:tc>
        <w:tc>
          <w:tcPr>
            <w:tcW w:w="975" w:type="dxa"/>
            <w:tcBorders>
              <w:top w:val="nil"/>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nil"/>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nil"/>
              <w:left w:val="nil"/>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40" w:hRule="atLeast"/>
        </w:trPr>
        <w:tc>
          <w:tcPr>
            <w:tcW w:w="1035" w:type="dxa"/>
            <w:tcBorders>
              <w:top w:val="single" w:color="000000" w:sz="8" w:space="0"/>
              <w:left w:val="single" w:color="000000" w:sz="8" w:space="0"/>
              <w:bottom w:val="nil"/>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市场前景（20分）</w:t>
            </w:r>
          </w:p>
        </w:tc>
        <w:tc>
          <w:tcPr>
            <w:tcW w:w="5670" w:type="dxa"/>
            <w:tcBorders>
              <w:top w:val="single" w:color="000000" w:sz="8" w:space="0"/>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参照经济指标及实测的技术经济指标和预测的经济社会效益分析报告进行评价：</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1.上市以来取得很好的经济效益或社会效益，市场前景好，酌情评18-20分；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2.上市以来取得较好的经济效益或社会效益，市场前景较好，酌情评14-17分；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3.上市以来经济效益或社会效益一般，市场前景一般，酌情评5-13分。</w:t>
            </w:r>
          </w:p>
        </w:tc>
        <w:tc>
          <w:tcPr>
            <w:tcW w:w="10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5-20</w:t>
            </w:r>
          </w:p>
        </w:tc>
        <w:tc>
          <w:tcPr>
            <w:tcW w:w="97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single" w:color="000000" w:sz="8" w:space="0"/>
              <w:left w:val="nil"/>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40" w:hRule="atLeast"/>
        </w:trPr>
        <w:tc>
          <w:tcPr>
            <w:tcW w:w="103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加分项（0-10分）</w:t>
            </w:r>
          </w:p>
        </w:tc>
        <w:tc>
          <w:tcPr>
            <w:tcW w:w="56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1.该产品采用的工艺技术、设计等，获得地市级政府部门或省级社会组织相关科技创新奖项，酌情加0-5分；省部级政府或国家级社会组织相关科技创新奖项，酌情加6-10分。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2.评价组认为可给与加分的情况。酌情加0-5分。</w:t>
            </w:r>
            <w:r>
              <w:rPr>
                <w:rFonts w:hint="eastAsia" w:ascii="宋体" w:hAnsi="宋体" w:eastAsia="宋体" w:cs="宋体"/>
                <w:i w:val="0"/>
                <w:iCs w:val="0"/>
                <w:color w:val="000000"/>
                <w:sz w:val="21"/>
                <w:szCs w:val="21"/>
                <w:u w:val="none"/>
                <w:bdr w:val="none" w:color="auto" w:sz="0" w:space="0"/>
              </w:rPr>
              <w:br w:type="textWrapping"/>
            </w:r>
            <w:r>
              <w:rPr>
                <w:rFonts w:hint="eastAsia" w:ascii="宋体" w:hAnsi="宋体" w:eastAsia="宋体" w:cs="宋体"/>
                <w:i w:val="0"/>
                <w:iCs w:val="0"/>
                <w:color w:val="000000"/>
                <w:sz w:val="21"/>
                <w:szCs w:val="21"/>
                <w:u w:val="none"/>
                <w:bdr w:val="none" w:color="auto" w:sz="0" w:space="0"/>
              </w:rPr>
              <w:t>加分累计不超10分。</w:t>
            </w:r>
          </w:p>
        </w:tc>
        <w:tc>
          <w:tcPr>
            <w:tcW w:w="100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0-10</w:t>
            </w:r>
          </w:p>
        </w:tc>
        <w:tc>
          <w:tcPr>
            <w:tcW w:w="97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80" w:hRule="atLeast"/>
        </w:trPr>
        <w:tc>
          <w:tcPr>
            <w:tcW w:w="6705" w:type="dxa"/>
            <w:gridSpan w:val="2"/>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1"/>
                <w:szCs w:val="21"/>
                <w:u w:val="none"/>
              </w:rPr>
            </w:pPr>
          </w:p>
        </w:tc>
        <w:tc>
          <w:tcPr>
            <w:tcW w:w="100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bdr w:val="none" w:color="auto" w:sz="0" w:space="0"/>
              </w:rPr>
              <w:t>总分</w:t>
            </w:r>
          </w:p>
        </w:tc>
        <w:tc>
          <w:tcPr>
            <w:tcW w:w="97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430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top"/>
          </w:tcPr>
          <w:p>
            <w:pPr>
              <w:jc w:val="left"/>
              <w:rPr>
                <w:rFonts w:hint="eastAsia" w:ascii="宋体" w:hAnsi="宋体" w:eastAsia="宋体" w:cs="宋体"/>
                <w:i w:val="0"/>
                <w:iCs w:val="0"/>
                <w:color w:val="000000"/>
                <w:sz w:val="21"/>
                <w:szCs w:val="21"/>
                <w:u w:val="none"/>
              </w:rPr>
            </w:pPr>
          </w:p>
        </w:tc>
        <w:tc>
          <w:tcPr>
            <w:tcW w:w="115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80" w:hRule="atLeast"/>
        </w:trPr>
        <w:tc>
          <w:tcPr>
            <w:tcW w:w="10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0" w:name="_GoBack"/>
            <w:bookmarkEnd w:id="0"/>
            <w:r>
              <w:rPr>
                <w:rFonts w:hint="eastAsia" w:ascii="宋体" w:hAnsi="宋体" w:eastAsia="宋体" w:cs="宋体"/>
                <w:i w:val="0"/>
                <w:iCs w:val="0"/>
                <w:color w:val="000000"/>
                <w:sz w:val="22"/>
                <w:szCs w:val="22"/>
                <w:u w:val="none"/>
                <w:bdr w:val="none" w:color="auto" w:sz="0" w:space="0"/>
              </w:rPr>
              <w:t>推荐意见</w:t>
            </w:r>
          </w:p>
        </w:tc>
        <w:tc>
          <w:tcPr>
            <w:tcW w:w="1311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4145" w:type="dxa"/>
            <w:gridSpan w:val="6"/>
            <w:vMerge w:val="restart"/>
            <w:tcBorders>
              <w:top w:val="nil"/>
              <w:left w:val="nil"/>
              <w:bottom w:val="nil"/>
              <w:right w:val="nil"/>
            </w:tcBorders>
            <w:shd w:val="clear"/>
            <w:tcMar>
              <w:top w:w="15" w:type="dxa"/>
              <w:left w:w="15" w:type="dxa"/>
              <w:right w:w="15" w:type="dxa"/>
            </w:tcMar>
            <w:vAlign w:val="center"/>
          </w:tcPr>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注：评价表项目自评分和专家评分须以《广东省食品行业优秀新产品申报表》填报内容或有效佐证资料为依据。若无佐证资料则相关评价项目或指标不得分。相关依据在“自评说明”栏简要说明：</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a）属申报表内容的，说明该内容在申报表中页码，如申报表P3。</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lang w:val="en-US" w:eastAsia="zh-CN"/>
              </w:rPr>
              <w:t>b)</w:t>
            </w:r>
            <w:r>
              <w:rPr>
                <w:rFonts w:hint="eastAsia" w:ascii="宋体" w:hAnsi="宋体" w:eastAsia="宋体" w:cs="宋体"/>
                <w:i w:val="0"/>
                <w:iCs w:val="0"/>
                <w:color w:val="000000"/>
                <w:sz w:val="18"/>
                <w:szCs w:val="18"/>
                <w:u w:val="none"/>
                <w:bdr w:val="none" w:color="auto" w:sz="0" w:space="0"/>
              </w:rPr>
              <w:t>另附佐证材料的，则写明材料名称。</w:t>
            </w:r>
          </w:p>
          <w:p>
            <w:pPr>
              <w:keepNext w:val="0"/>
              <w:keepLines w:val="0"/>
              <w:widowControl/>
              <w:suppressLineNumbers w:val="0"/>
              <w:ind w:firstLineChars="200"/>
              <w:jc w:val="left"/>
              <w:textAlignment w:val="center"/>
              <w:rPr>
                <w:rFonts w:hint="default" w:ascii="宋体" w:hAnsi="宋体" w:eastAsia="宋体" w:cs="宋体"/>
                <w:i w:val="0"/>
                <w:iCs w:val="0"/>
                <w:color w:val="000000"/>
                <w:sz w:val="18"/>
                <w:szCs w:val="18"/>
                <w:u w:val="none"/>
                <w:bdr w:val="none" w:color="auto" w:sz="0" w:space="0"/>
                <w:lang w:val="en-US" w:eastAsia="zh-CN"/>
              </w:rPr>
            </w:pPr>
            <w:r>
              <w:rPr>
                <w:rFonts w:hint="eastAsia" w:ascii="宋体" w:hAnsi="宋体" w:eastAsia="宋体" w:cs="宋体"/>
                <w:i w:val="0"/>
                <w:iCs w:val="0"/>
                <w:color w:val="000000"/>
                <w:sz w:val="18"/>
                <w:szCs w:val="18"/>
                <w:u w:val="none"/>
                <w:lang w:val="en-US" w:eastAsia="zh-CN"/>
              </w:rPr>
              <w:t>c</w:t>
            </w:r>
            <w:r>
              <w:rPr>
                <w:rFonts w:hint="eastAsia" w:ascii="宋体" w:hAnsi="宋体" w:eastAsia="宋体" w:cs="宋体"/>
                <w:i w:val="0"/>
                <w:iCs w:val="0"/>
                <w:color w:val="000000"/>
                <w:sz w:val="18"/>
                <w:szCs w:val="18"/>
                <w:u w:val="none"/>
                <w:bdr w:val="none" w:color="auto" w:sz="0" w:space="0"/>
                <w:lang w:val="en-US" w:eastAsia="zh-CN"/>
              </w:rPr>
              <w:t>)本表采用A3双面打印，一式两份。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14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1414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
      <w:pPr>
        <w:rPr>
          <w:rFonts w:hint="eastAsia"/>
          <w:b/>
          <w:bCs/>
          <w:sz w:val="24"/>
          <w:szCs w:val="24"/>
          <w:lang w:eastAsia="zh-CN"/>
        </w:rPr>
      </w:pPr>
      <w:r>
        <w:rPr>
          <w:rFonts w:hint="eastAsia"/>
          <w:b/>
          <w:bCs/>
          <w:sz w:val="24"/>
          <w:szCs w:val="24"/>
          <w:lang w:eastAsia="zh-CN"/>
        </w:rPr>
        <w:t>专家签名：</w:t>
      </w:r>
    </w:p>
    <w:p>
      <w:pPr>
        <w:rPr>
          <w:rFonts w:hint="eastAsia"/>
          <w:b/>
          <w:bCs/>
          <w:sz w:val="24"/>
          <w:szCs w:val="24"/>
          <w:lang w:eastAsia="zh-CN"/>
        </w:rPr>
      </w:pPr>
    </w:p>
    <w:p>
      <w:pPr>
        <w:ind w:firstLine="5542" w:firstLineChars="2300"/>
        <w:rPr>
          <w:rFonts w:hint="default"/>
          <w:b/>
          <w:bCs/>
          <w:sz w:val="24"/>
          <w:szCs w:val="24"/>
          <w:lang w:val="en-US" w:eastAsia="zh-CN"/>
        </w:rPr>
      </w:pPr>
      <w:r>
        <w:rPr>
          <w:rFonts w:hint="eastAsia"/>
          <w:b/>
          <w:bCs/>
          <w:sz w:val="24"/>
          <w:szCs w:val="24"/>
          <w:lang w:eastAsia="zh-CN"/>
        </w:rPr>
        <w:t>年</w:t>
      </w:r>
      <w:r>
        <w:rPr>
          <w:rFonts w:hint="eastAsia"/>
          <w:b/>
          <w:bCs/>
          <w:sz w:val="24"/>
          <w:szCs w:val="24"/>
          <w:lang w:val="en-US" w:eastAsia="zh-CN"/>
        </w:rPr>
        <w:t xml:space="preserve">   </w:t>
      </w:r>
      <w:r>
        <w:rPr>
          <w:rFonts w:hint="eastAsia"/>
          <w:b/>
          <w:bCs/>
          <w:sz w:val="24"/>
          <w:szCs w:val="24"/>
          <w:lang w:eastAsia="zh-CN"/>
        </w:rPr>
        <w:t>月</w:t>
      </w:r>
      <w:r>
        <w:rPr>
          <w:rFonts w:hint="eastAsia"/>
          <w:b/>
          <w:bCs/>
          <w:sz w:val="24"/>
          <w:szCs w:val="24"/>
          <w:lang w:val="en-US" w:eastAsia="zh-CN"/>
        </w:rPr>
        <w:t xml:space="preserve">   日</w:t>
      </w: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663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2021-10-13T02:04:08Z</dcterms:created>
  <dc:creator>Administrator</dc:creator>
  <cp:lastModifiedBy>Margaret</cp:lastModifiedBy>
  <dcterms:modified xsi:type="dcterms:W3CDTF">2021-10-13T02:07:25Z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CACB293078DF45C6AB2DE3A457AE063C</vt:lpwstr>
  </property>
</Properties>
</file>